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D6B58"/>
          <w:sz w:val="19"/>
        </w:rPr>
        <w:t>MODIFIABLE REQUEST FOR PROPOSALS (RFP) TEMPLATE  |  VNA-RFP-037</w:t>
      </w:r>
    </w:p>
    <w:p>
      <w:pPr>
        <w:pStyle w:val="Heading1"/>
      </w:pPr>
      <w:r>
        <w:rPr>
          <w:color w:val="1E2620"/>
        </w:rPr>
        <w:t>Request for Proposals (RFP): Open Oracle Forms / APEX Requisition Bridge (Turnkey ACE Pod in 10 Days vs. 6-Month Hire)</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D6B5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F2922"/>
          </w:tcPr>
          <w:p>
            <w:r>
              <w:rPr>
                <w:b/>
                <w:color w:val="FFFFFF"/>
                <w:sz w:val="19"/>
              </w:rPr>
              <w:t>Procurement Milestone / Field</w:t>
            </w:r>
          </w:p>
        </w:tc>
        <w:tc>
          <w:tcPr>
            <w:tcW w:type="dxa" w:w="5040"/>
            <w:shd w:val="clear" w:color="auto" w:fill="1F2922"/>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VNA-RFP-037 (Companion to Solution Brief VNA-SB-037)</w:t>
            </w:r>
          </w:p>
        </w:tc>
      </w:tr>
      <w:tr>
        <w:tc>
          <w:tcPr>
            <w:tcW w:type="dxa" w:w="5040"/>
          </w:tcPr>
          <w:p>
            <w:r>
              <w:rPr>
                <w:b/>
              </w:rPr>
              <w:t>RFP Issue Date</w:t>
            </w:r>
          </w:p>
        </w:tc>
        <w:tc>
          <w:tcPr>
            <w:tcW w:type="dxa" w:w="5040"/>
          </w:tcPr>
          <w:p>
            <w:r>
              <w:t>[2026-10-30]</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Open 90-to-180 Day Job Requisitions for Senior Oracle Forms / APEX / PLSQL Developers environment to Turnkey Viscosity Oracle ACE Engineering Pod + Automated Binary FMB/RDF Tooling + 2-Week POC.</w:t>
      </w:r>
    </w:p>
    <w:p>
      <w:pPr>
        <w:pStyle w:val="ListBullet"/>
      </w:pPr>
      <w:r>
        <w:t>Critical business operations remain trapped in Open 90-to-180 Day Job Requisitions for Senior Oracle Forms / APEX / PLSQL Developers, creating audit risk, manual reconciliation overhead, and rising support costs.</w:t>
      </w:r>
    </w:p>
    <w:p>
      <w:pPr>
        <w:pStyle w:val="ListBullet"/>
      </w:pPr>
      <w:r>
        <w:t>Duplicate queries, cloned reports, and undocumented triggers make impact analysis slow and expensive across legacy forms / reports / packages in backlog.</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3D6B5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D6B58"/>
          </w:tcPr>
          <w:p>
            <w:r>
              <w:rPr>
                <w:b/>
                <w:color w:val="FFFFFF"/>
                <w:sz w:val="19"/>
              </w:rPr>
              <w:t>Inventory Dimension</w:t>
            </w:r>
          </w:p>
        </w:tc>
        <w:tc>
          <w:tcPr>
            <w:tcW w:type="dxa" w:w="3360"/>
            <w:shd w:val="clear" w:color="auto" w:fill="3D6B58"/>
          </w:tcPr>
          <w:p>
            <w:r>
              <w:rPr>
                <w:b/>
                <w:color w:val="FFFFFF"/>
                <w:sz w:val="19"/>
              </w:rPr>
              <w:t>Current Baseline Footprint (Editable)</w:t>
            </w:r>
          </w:p>
        </w:tc>
        <w:tc>
          <w:tcPr>
            <w:tcW w:type="dxa" w:w="3360"/>
            <w:shd w:val="clear" w:color="auto" w:fill="3D6B58"/>
          </w:tcPr>
          <w:p>
            <w:r>
              <w:rPr>
                <w:b/>
                <w:color w:val="FFFFFF"/>
                <w:sz w:val="19"/>
              </w:rPr>
              <w:t>Target Modernization SLA / Objective</w:t>
            </w:r>
          </w:p>
        </w:tc>
      </w:tr>
      <w:tr>
        <w:tc>
          <w:tcPr>
            <w:tcW w:type="dxa" w:w="3360"/>
          </w:tcPr>
          <w:p>
            <w:r>
              <w:rPr>
                <w:b/>
              </w:rPr>
              <w:t>Legacy Source Stack (Stack X)</w:t>
            </w:r>
          </w:p>
        </w:tc>
        <w:tc>
          <w:tcPr>
            <w:tcW w:type="dxa" w:w="3360"/>
          </w:tcPr>
          <w:p>
            <w:r>
              <w:t>Open 90-to-180 Day Job Requisitions for Senior Oracle Forms / APEX / PLSQL Developers</w:t>
            </w:r>
          </w:p>
        </w:tc>
        <w:tc>
          <w:tcPr>
            <w:tcW w:type="dxa" w:w="3360"/>
          </w:tcPr>
          <w:p>
            <w:r>
              <w:t>Full retirement / modernization</w:t>
            </w:r>
          </w:p>
        </w:tc>
      </w:tr>
      <w:tr>
        <w:tc>
          <w:tcPr>
            <w:tcW w:type="dxa" w:w="3360"/>
          </w:tcPr>
          <w:p>
            <w:r>
              <w:rPr>
                <w:b/>
              </w:rPr>
              <w:t>Target Architecture (Stack Y)</w:t>
            </w:r>
          </w:p>
        </w:tc>
        <w:tc>
          <w:tcPr>
            <w:tcW w:type="dxa" w:w="3360"/>
          </w:tcPr>
          <w:p>
            <w:r>
              <w:t>Turnkey Viscosity Oracle ACE Engineering Pod + Automated Binary FMB/RDF Tooling + 2-Week POC</w:t>
            </w:r>
          </w:p>
        </w:tc>
        <w:tc>
          <w:tcPr>
            <w:tcW w:type="dxa" w:w="3360"/>
          </w:tcPr>
          <w:p>
            <w:r>
              <w:t>Production HA/DR &amp; security governance</w:t>
            </w:r>
          </w:p>
        </w:tc>
      </w:tr>
      <w:tr>
        <w:tc>
          <w:tcPr>
            <w:tcW w:type="dxa" w:w="3360"/>
          </w:tcPr>
          <w:p>
            <w:r>
              <w:rPr>
                <w:b/>
              </w:rPr>
              <w:t>Open Developer / Architect Requisitions</w:t>
            </w:r>
          </w:p>
        </w:tc>
        <w:tc>
          <w:tcPr>
            <w:tcW w:type="dxa" w:w="3360"/>
          </w:tcPr>
          <w:p>
            <w:r>
              <w:t>[Insert Count, e.g., 3 open reqs]</w:t>
            </w:r>
          </w:p>
        </w:tc>
        <w:tc>
          <w:tcPr>
            <w:tcW w:type="dxa" w:w="3360"/>
          </w:tcPr>
          <w:p>
            <w:r>
              <w:t>100% functional parity &amp; optimization</w:t>
            </w:r>
          </w:p>
        </w:tc>
      </w:tr>
      <w:tr>
        <w:tc>
          <w:tcPr>
            <w:tcW w:type="dxa" w:w="3360"/>
          </w:tcPr>
          <w:p>
            <w:r>
              <w:rPr>
                <w:b/>
              </w:rPr>
              <w:t>Legacy Forms / Reports / Packages in Backlog</w:t>
            </w:r>
          </w:p>
        </w:tc>
        <w:tc>
          <w:tcPr>
            <w:tcW w:type="dxa" w:w="3360"/>
          </w:tcPr>
          <w:p>
            <w:r>
              <w:t>[Insert Count, e.g., 220 backlog objects]</w:t>
            </w:r>
          </w:p>
        </w:tc>
        <w:tc>
          <w:tcPr>
            <w:tcW w:type="dxa" w:w="3360"/>
          </w:tcPr>
          <w:p>
            <w:r>
              <w:t>Automated AST &amp; schema uplift</w:t>
            </w:r>
          </w:p>
        </w:tc>
      </w:tr>
      <w:tr>
        <w:tc>
          <w:tcPr>
            <w:tcW w:type="dxa" w:w="3360"/>
          </w:tcPr>
          <w:p>
            <w:r>
              <w:rPr>
                <w:b/>
              </w:rPr>
              <w:t>Manual Reverse-Engineering Effort Saved</w:t>
            </w:r>
          </w:p>
        </w:tc>
        <w:tc>
          <w:tcPr>
            <w:tcW w:type="dxa" w:w="3360"/>
          </w:tcPr>
          <w:p>
            <w:r>
              <w:t>[Insert Count, e.g., 85 % automated via AST]</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D6B58"/>
        </w:rPr>
        <w:t>Section 3: Mandatory Technical Scope of Work &amp; Conversion Matrix</w:t>
      </w:r>
    </w:p>
    <w:p>
      <w:pPr>
        <w:pStyle w:val="ListNumber"/>
      </w:pPr>
      <w:r>
        <w:rPr>
          <w:b/>
        </w:rPr>
        <w:t xml:space="preserve">[REQ-ARCH-01] </w:t>
      </w:r>
      <w:r>
        <w:t>Automated Phase 0 AST &amp; binary scan mapping Open 90-to-180 Day Job Requisitions for Senior Oracle Forms / APEX / PLSQL Developers artifacts directly to live Oracle dictionary metadata and profiling production data.</w:t>
      </w:r>
    </w:p>
    <w:p>
      <w:pPr>
        <w:pStyle w:val="ListNumber"/>
      </w:pPr>
      <w:r>
        <w:rPr>
          <w:b/>
        </w:rPr>
        <w:t xml:space="preserve">[REQ-ARCH-02] </w:t>
      </w:r>
      <w:r>
        <w:t>Target architecture built on Turnkey Viscosity Oracle ACE Engineering Pod + Automated Binary FMB/RDF Tooling + 2-Week POC,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Req ID</w:t>
            </w:r>
          </w:p>
        </w:tc>
        <w:tc>
          <w:tcPr>
            <w:tcW w:type="dxa" w:w="2520"/>
            <w:shd w:val="clear" w:color="auto" w:fill="1F2922"/>
          </w:tcPr>
          <w:p>
            <w:r>
              <w:rPr>
                <w:b/>
                <w:color w:val="FFFFFF"/>
                <w:sz w:val="19"/>
              </w:rPr>
              <w:t>Legacy Artifact / Baseline Workload</w:t>
            </w:r>
          </w:p>
        </w:tc>
        <w:tc>
          <w:tcPr>
            <w:tcW w:type="dxa" w:w="2520"/>
            <w:shd w:val="clear" w:color="auto" w:fill="1F2922"/>
          </w:tcPr>
          <w:p>
            <w:r>
              <w:rPr>
                <w:b/>
                <w:color w:val="FFFFFF"/>
                <w:sz w:val="19"/>
              </w:rPr>
              <w:t>Required Target Architecture</w:t>
            </w:r>
          </w:p>
        </w:tc>
        <w:tc>
          <w:tcPr>
            <w:tcW w:type="dxa" w:w="2520"/>
            <w:shd w:val="clear" w:color="auto" w:fill="1F2922"/>
          </w:tcPr>
          <w:p>
            <w:r>
              <w:rPr>
                <w:b/>
                <w:color w:val="FFFFFF"/>
                <w:sz w:val="19"/>
              </w:rPr>
              <w:t>Engineering Method &amp; Acceptance Gate</w:t>
            </w:r>
          </w:p>
        </w:tc>
      </w:tr>
      <w:tr>
        <w:tc>
          <w:tcPr>
            <w:tcW w:type="dxa" w:w="2520"/>
          </w:tcPr>
          <w:p>
            <w:r>
              <w:rPr>
                <w:b/>
              </w:rPr>
              <w:t>REQ-01</w:t>
            </w:r>
          </w:p>
        </w:tc>
        <w:tc>
          <w:tcPr>
            <w:tcW w:type="dxa" w:w="2520"/>
          </w:tcPr>
          <w:p>
            <w:r>
              <w:t>Source Tier: Open 90-to-180 Day Job Requisitions for Senior Oracle Forms / APEX / PLSQL Developers</w:t>
            </w:r>
          </w:p>
        </w:tc>
        <w:tc>
          <w:tcPr>
            <w:tcW w:type="dxa" w:w="2520"/>
          </w:tcPr>
          <w:p>
            <w:r>
              <w:t>Turnkey Viscosity Oracle ACE Engineering Pod + Automated Binary FMB/RDF Tooling + 2-Week POC</w:t>
            </w:r>
          </w:p>
        </w:tc>
        <w:tc>
          <w:tcPr>
            <w:tcW w:type="dxa" w:w="2520"/>
          </w:tcPr>
          <w:p>
            <w:r>
              <w:t>Automated AST &amp; Metadata Uplift (85%-95%)</w:t>
            </w:r>
          </w:p>
        </w:tc>
      </w:tr>
      <w:tr>
        <w:tc>
          <w:tcPr>
            <w:tcW w:type="dxa" w:w="2520"/>
          </w:tcPr>
          <w:p>
            <w:r>
              <w:rPr>
                <w:b/>
              </w:rPr>
              <w:t>REQ-02</w:t>
            </w:r>
          </w:p>
        </w:tc>
        <w:tc>
          <w:tcPr>
            <w:tcW w:type="dxa" w:w="2520"/>
          </w:tcPr>
          <w:p>
            <w:r>
              <w:t>Primary Footprint: Open Developer / Architect Requisitions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Legacy Forms / Reports / Packages in Backlog</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3D6B5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Oracle Forms &amp; APEX Talent Bridge Pod?   [Evaluator Score: ___ / 10]</w:t>
      </w:r>
    </w:p>
    <w:p>
      <w:pPr>
        <w:pStyle w:val="ListBullet"/>
      </w:pPr>
      <w:r>
        <w:rPr>
          <w:b/>
        </w:rPr>
        <w:t xml:space="preserve">Reference Evaluation Benchmark: </w:t>
      </w:r>
      <w:r>
        <w:t>Cost is controlled by five levers: (1) collapsing cloned query fan-out across legacy forms / reports / packages in backlog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D6B5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Milestone / Phase</w:t>
            </w:r>
          </w:p>
        </w:tc>
        <w:tc>
          <w:tcPr>
            <w:tcW w:type="dxa" w:w="2520"/>
            <w:shd w:val="clear" w:color="auto" w:fill="1F2922"/>
          </w:tcPr>
          <w:p>
            <w:r>
              <w:rPr>
                <w:b/>
                <w:color w:val="FFFFFF"/>
                <w:sz w:val="19"/>
              </w:rPr>
              <w:t>Deliverable &amp; Acceptance Gate</w:t>
            </w:r>
          </w:p>
        </w:tc>
        <w:tc>
          <w:tcPr>
            <w:tcW w:type="dxa" w:w="2520"/>
            <w:shd w:val="clear" w:color="auto" w:fill="1F2922"/>
          </w:tcPr>
          <w:p>
            <w:r>
              <w:rPr>
                <w:b/>
                <w:color w:val="FFFFFF"/>
                <w:sz w:val="19"/>
              </w:rPr>
              <w:t>Fixed Fee (USD)</w:t>
            </w:r>
          </w:p>
        </w:tc>
        <w:tc>
          <w:tcPr>
            <w:tcW w:type="dxa" w:w="2520"/>
            <w:shd w:val="clear" w:color="auto" w:fill="1F2922"/>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VNA-RFP-037  |  https://oracle-forms-apex-talent-bridge.pages.dev/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